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Times New Roman" w:hAnsi="Times New Roman" w:cs="Times New Roman"/>
          <w:color w:val="000000" w:themeColor="text1"/>
          <w:sz w:val="32"/>
          <w:szCs w:val="32"/>
          <w:u w:val="none"/>
          <w:lang w:val="en-US" w:eastAsia="zh-CN"/>
          <w14:textFill>
            <w14:solidFill>
              <w14:schemeClr w14:val="tx1"/>
            </w14:solidFill>
          </w14:textFill>
        </w:rPr>
      </w:pPr>
    </w:p>
    <w:p>
      <w:pPr>
        <w:jc w:val="center"/>
        <w:rPr>
          <w:rStyle w:val="5"/>
          <w:rFonts w:hint="eastAsia" w:ascii="Times New Roman" w:hAnsi="Times New Roman" w:cs="Times New Roman"/>
          <w:color w:val="000000" w:themeColor="text1"/>
          <w:sz w:val="32"/>
          <w:szCs w:val="32"/>
          <w:u w:val="none"/>
          <w:lang w:val="en-US" w:eastAsia="zh-CN"/>
          <w14:textFill>
            <w14:solidFill>
              <w14:schemeClr w14:val="tx1"/>
            </w14:solidFill>
          </w14:textFill>
        </w:rPr>
      </w:pPr>
    </w:p>
    <w:p>
      <w:pPr>
        <w:jc w:val="center"/>
        <w:rPr>
          <w:rStyle w:val="5"/>
          <w:rFonts w:hint="eastAsia" w:ascii="Times New Roman" w:hAnsi="Times New Roman" w:cs="Times New Roman"/>
          <w:color w:val="000000" w:themeColor="text1"/>
          <w:sz w:val="32"/>
          <w:szCs w:val="32"/>
          <w:u w:val="none"/>
          <w:lang w:val="en-US" w:eastAsia="zh-CN"/>
          <w14:textFill>
            <w14:solidFill>
              <w14:schemeClr w14:val="tx1"/>
            </w14:solidFill>
          </w14:textFill>
        </w:rPr>
      </w:pPr>
    </w:p>
    <w:p>
      <w:pPr>
        <w:jc w:val="center"/>
        <w:rPr>
          <w:rStyle w:val="5"/>
          <w:rFonts w:hint="eastAsia" w:ascii="Times New Roman" w:hAnsi="Times New Roman" w:cs="Times New Roman"/>
          <w:color w:val="000000" w:themeColor="text1"/>
          <w:sz w:val="32"/>
          <w:szCs w:val="32"/>
          <w:u w:val="none"/>
          <w:lang w:val="en-US" w:eastAsia="zh-CN"/>
          <w14:textFill>
            <w14:solidFill>
              <w14:schemeClr w14:val="tx1"/>
            </w14:solidFill>
          </w14:textFill>
        </w:rPr>
      </w:pPr>
    </w:p>
    <w:p>
      <w:pPr>
        <w:jc w:val="center"/>
        <w:rPr>
          <w:rStyle w:val="5"/>
          <w:rFonts w:hint="default" w:ascii="Times New Roman" w:hAnsi="Times New Roman" w:cs="Times New Roman"/>
          <w:color w:val="000000" w:themeColor="text1"/>
          <w:sz w:val="44"/>
          <w:szCs w:val="44"/>
          <w:u w:val="none"/>
          <w:lang w:val="en-US" w:eastAsia="zh-CN"/>
          <w14:textFill>
            <w14:solidFill>
              <w14:schemeClr w14:val="tx1"/>
            </w14:solidFill>
          </w14:textFill>
        </w:rPr>
      </w:pPr>
      <w:r>
        <w:rPr>
          <w:rStyle w:val="5"/>
          <w:rFonts w:hint="eastAsia" w:ascii="Times New Roman" w:hAnsi="Times New Roman" w:cs="Times New Roman"/>
          <w:color w:val="000000" w:themeColor="text1"/>
          <w:sz w:val="44"/>
          <w:szCs w:val="44"/>
          <w:u w:val="none"/>
          <w:lang w:val="en-US" w:eastAsia="zh-CN"/>
          <w14:textFill>
            <w14:solidFill>
              <w14:schemeClr w14:val="tx1"/>
            </w14:solidFill>
          </w14:textFill>
        </w:rPr>
        <w:t>《基础会计》</w:t>
      </w:r>
      <w:r>
        <w:rPr>
          <w:rStyle w:val="5"/>
          <w:rFonts w:hint="default" w:ascii="Times New Roman" w:hAnsi="Times New Roman" w:cs="Times New Roman"/>
          <w:color w:val="000000" w:themeColor="text1"/>
          <w:sz w:val="44"/>
          <w:szCs w:val="44"/>
          <w:u w:val="none"/>
          <w:lang w:val="en-US" w:eastAsia="zh-CN"/>
          <w14:textFill>
            <w14:solidFill>
              <w14:schemeClr w14:val="tx1"/>
            </w14:solidFill>
          </w14:textFill>
        </w:rPr>
        <w:t>精品课程建设报告</w:t>
      </w:r>
      <w:r>
        <w:rPr>
          <w:rStyle w:val="5"/>
          <w:rFonts w:hint="eastAsia" w:ascii="Times New Roman" w:hAnsi="Times New Roman" w:cs="Times New Roman"/>
          <w:color w:val="000000" w:themeColor="text1"/>
          <w:sz w:val="44"/>
          <w:szCs w:val="44"/>
          <w:u w:val="none"/>
          <w:lang w:val="en-US" w:eastAsia="zh-CN"/>
          <w14:textFill>
            <w14:solidFill>
              <w14:schemeClr w14:val="tx1"/>
            </w14:solidFill>
          </w14:textFill>
        </w:rPr>
        <w:t>书</w:t>
      </w:r>
    </w:p>
    <w:p>
      <w:pPr>
        <w:jc w:val="both"/>
        <w:rPr>
          <w:rStyle w:val="5"/>
          <w:rFonts w:hint="default" w:ascii="Times New Roman" w:hAnsi="Times New Roman" w:cs="Times New Roman"/>
          <w:color w:val="000000" w:themeColor="text1"/>
          <w:sz w:val="44"/>
          <w:szCs w:val="44"/>
          <w:u w:val="none"/>
          <w:lang w:val="en-US" w:eastAsia="zh-CN"/>
          <w14:textFill>
            <w14:solidFill>
              <w14:schemeClr w14:val="tx1"/>
            </w14:solidFill>
          </w14:textFill>
        </w:rPr>
      </w:pPr>
    </w:p>
    <w:p>
      <w:pPr>
        <w:jc w:val="both"/>
        <w:rPr>
          <w:rStyle w:val="5"/>
          <w:rFonts w:hint="default" w:ascii="Times New Roman" w:hAnsi="Times New Roman" w:cs="Times New Roman"/>
          <w:color w:val="000000" w:themeColor="text1"/>
          <w:sz w:val="44"/>
          <w:szCs w:val="44"/>
          <w:u w:val="none"/>
          <w:lang w:val="en-US" w:eastAsia="zh-CN"/>
          <w14:textFill>
            <w14:solidFill>
              <w14:schemeClr w14:val="tx1"/>
            </w14:solidFill>
          </w14:textFill>
        </w:rPr>
      </w:pPr>
    </w:p>
    <w:p>
      <w:pPr>
        <w:jc w:val="both"/>
        <w:rPr>
          <w:rStyle w:val="5"/>
          <w:rFonts w:hint="default" w:ascii="Times New Roman" w:hAnsi="Times New Roman" w:cs="Times New Roman"/>
          <w:color w:val="000000" w:themeColor="text1"/>
          <w:sz w:val="44"/>
          <w:szCs w:val="44"/>
          <w:u w:val="none"/>
          <w:lang w:val="en-US" w:eastAsia="zh-CN"/>
          <w14:textFill>
            <w14:solidFill>
              <w14:schemeClr w14:val="tx1"/>
            </w14:solidFill>
          </w14:textFill>
        </w:rPr>
      </w:pPr>
    </w:p>
    <w:p>
      <w:pPr>
        <w:jc w:val="both"/>
        <w:rPr>
          <w:rStyle w:val="5"/>
          <w:rFonts w:hint="default" w:ascii="Times New Roman" w:hAnsi="Times New Roman" w:cs="Times New Roman"/>
          <w:color w:val="000000" w:themeColor="text1"/>
          <w:sz w:val="44"/>
          <w:szCs w:val="44"/>
          <w:u w:val="none"/>
          <w:lang w:val="en-US" w:eastAsia="zh-CN"/>
          <w14:textFill>
            <w14:solidFill>
              <w14:schemeClr w14:val="tx1"/>
            </w14:solidFill>
          </w14:textFill>
        </w:rPr>
      </w:pPr>
    </w:p>
    <w:p>
      <w:pPr>
        <w:jc w:val="both"/>
        <w:rPr>
          <w:rStyle w:val="5"/>
          <w:rFonts w:hint="default" w:ascii="Times New Roman" w:hAnsi="Times New Roman" w:cs="Times New Roman"/>
          <w:color w:val="000000" w:themeColor="text1"/>
          <w:sz w:val="44"/>
          <w:szCs w:val="44"/>
          <w:u w:val="none"/>
          <w:lang w:val="en-US" w:eastAsia="zh-CN"/>
          <w14:textFill>
            <w14:solidFill>
              <w14:schemeClr w14:val="tx1"/>
            </w14:solidFill>
          </w14:textFill>
        </w:rPr>
      </w:pPr>
    </w:p>
    <w:p>
      <w:pPr>
        <w:jc w:val="both"/>
        <w:rPr>
          <w:rStyle w:val="5"/>
          <w:rFonts w:hint="default" w:ascii="Times New Roman" w:hAnsi="Times New Roman" w:cs="Times New Roman"/>
          <w:color w:val="000000" w:themeColor="text1"/>
          <w:sz w:val="44"/>
          <w:szCs w:val="44"/>
          <w:u w:val="none"/>
          <w:lang w:val="en-US" w:eastAsia="zh-CN"/>
          <w14:textFill>
            <w14:solidFill>
              <w14:schemeClr w14:val="tx1"/>
            </w14:solidFill>
          </w14:textFill>
        </w:rPr>
      </w:pPr>
    </w:p>
    <w:p>
      <w:pPr>
        <w:jc w:val="both"/>
        <w:rPr>
          <w:rStyle w:val="5"/>
          <w:rFonts w:hint="default" w:ascii="Times New Roman" w:hAnsi="Times New Roman" w:cs="Times New Roman"/>
          <w:color w:val="000000" w:themeColor="text1"/>
          <w:sz w:val="44"/>
          <w:szCs w:val="44"/>
          <w:u w:val="none"/>
          <w:lang w:val="en-US" w:eastAsia="zh-CN"/>
          <w14:textFill>
            <w14:solidFill>
              <w14:schemeClr w14:val="tx1"/>
            </w14:solidFill>
          </w14:textFill>
        </w:rPr>
      </w:pPr>
    </w:p>
    <w:p>
      <w:pPr>
        <w:jc w:val="both"/>
        <w:rPr>
          <w:rStyle w:val="5"/>
          <w:rFonts w:hint="default" w:ascii="Times New Roman" w:hAnsi="Times New Roman" w:cs="Times New Roman"/>
          <w:color w:val="000000" w:themeColor="text1"/>
          <w:sz w:val="44"/>
          <w:szCs w:val="44"/>
          <w:u w:val="none"/>
          <w:lang w:val="en-US" w:eastAsia="zh-CN"/>
          <w14:textFill>
            <w14:solidFill>
              <w14:schemeClr w14:val="tx1"/>
            </w14:solidFill>
          </w14:textFill>
        </w:rPr>
      </w:pPr>
    </w:p>
    <w:p>
      <w:pPr>
        <w:jc w:val="both"/>
        <w:rPr>
          <w:rStyle w:val="5"/>
          <w:rFonts w:hint="default" w:ascii="Times New Roman" w:hAnsi="Times New Roman" w:cs="Times New Roman"/>
          <w:color w:val="000000" w:themeColor="text1"/>
          <w:sz w:val="44"/>
          <w:szCs w:val="44"/>
          <w:u w:val="none"/>
          <w:lang w:val="en-US" w:eastAsia="zh-CN"/>
          <w14:textFill>
            <w14:solidFill>
              <w14:schemeClr w14:val="tx1"/>
            </w14:solidFill>
          </w14:textFill>
        </w:rPr>
      </w:pPr>
    </w:p>
    <w:p>
      <w:pPr>
        <w:jc w:val="both"/>
        <w:rPr>
          <w:rStyle w:val="5"/>
          <w:rFonts w:hint="default" w:ascii="Times New Roman" w:hAnsi="Times New Roman" w:cs="Times New Roman"/>
          <w:color w:val="000000" w:themeColor="text1"/>
          <w:sz w:val="44"/>
          <w:szCs w:val="44"/>
          <w:u w:val="none"/>
          <w:lang w:val="en-US" w:eastAsia="zh-CN"/>
          <w14:textFill>
            <w14:solidFill>
              <w14:schemeClr w14:val="tx1"/>
            </w14:solidFill>
          </w14:textFill>
        </w:rPr>
      </w:pPr>
    </w:p>
    <w:p>
      <w:pPr>
        <w:jc w:val="both"/>
        <w:rPr>
          <w:rStyle w:val="5"/>
          <w:rFonts w:hint="default" w:ascii="Times New Roman" w:hAnsi="Times New Roman" w:cs="Times New Roman"/>
          <w:color w:val="000000" w:themeColor="text1"/>
          <w:sz w:val="44"/>
          <w:szCs w:val="44"/>
          <w:u w:val="none"/>
          <w:lang w:val="en-US" w:eastAsia="zh-CN"/>
          <w14:textFill>
            <w14:solidFill>
              <w14:schemeClr w14:val="tx1"/>
            </w14:solidFill>
          </w14:textFill>
        </w:rPr>
      </w:pPr>
    </w:p>
    <w:p>
      <w:pPr>
        <w:jc w:val="both"/>
        <w:rPr>
          <w:rStyle w:val="5"/>
          <w:rFonts w:hint="default" w:ascii="Times New Roman" w:hAnsi="Times New Roman" w:cs="Times New Roman"/>
          <w:color w:val="000000" w:themeColor="text1"/>
          <w:sz w:val="44"/>
          <w:szCs w:val="44"/>
          <w:u w:val="none"/>
          <w:lang w:val="en-US" w:eastAsia="zh-CN"/>
          <w14:textFill>
            <w14:solidFill>
              <w14:schemeClr w14:val="tx1"/>
            </w14:solidFill>
          </w14:textFill>
        </w:rPr>
      </w:pPr>
    </w:p>
    <w:p>
      <w:pPr>
        <w:jc w:val="center"/>
        <w:rPr>
          <w:rStyle w:val="5"/>
          <w:rFonts w:hint="eastAsia" w:ascii="Times New Roman" w:hAnsi="Times New Roman" w:cs="Times New Roman"/>
          <w:color w:val="000000" w:themeColor="text1"/>
          <w:sz w:val="44"/>
          <w:szCs w:val="44"/>
          <w:u w:val="none"/>
          <w:lang w:val="en-US" w:eastAsia="zh-CN"/>
          <w14:textFill>
            <w14:solidFill>
              <w14:schemeClr w14:val="tx1"/>
            </w14:solidFill>
          </w14:textFill>
        </w:rPr>
      </w:pPr>
      <w:r>
        <w:rPr>
          <w:rStyle w:val="5"/>
          <w:rFonts w:hint="eastAsia" w:ascii="Times New Roman" w:hAnsi="Times New Roman" w:cs="Times New Roman"/>
          <w:color w:val="000000" w:themeColor="text1"/>
          <w:sz w:val="44"/>
          <w:szCs w:val="44"/>
          <w:u w:val="none"/>
          <w:lang w:val="en-US" w:eastAsia="zh-CN"/>
          <w14:textFill>
            <w14:solidFill>
              <w14:schemeClr w14:val="tx1"/>
            </w14:solidFill>
          </w14:textFill>
        </w:rPr>
        <w:t>《基础会计》课程建设项目组</w:t>
      </w:r>
    </w:p>
    <w:p>
      <w:pPr>
        <w:jc w:val="center"/>
        <w:rPr>
          <w:rStyle w:val="5"/>
          <w:rFonts w:hint="eastAsia" w:ascii="Times New Roman" w:hAnsi="Times New Roman" w:cs="Times New Roman"/>
          <w:color w:val="000000" w:themeColor="text1"/>
          <w:sz w:val="44"/>
          <w:szCs w:val="44"/>
          <w:u w:val="none"/>
          <w:lang w:val="en-US" w:eastAsia="zh-CN"/>
          <w14:textFill>
            <w14:solidFill>
              <w14:schemeClr w14:val="tx1"/>
            </w14:solidFill>
          </w14:textFill>
        </w:rPr>
      </w:pPr>
      <w:r>
        <w:rPr>
          <w:rStyle w:val="5"/>
          <w:rFonts w:hint="eastAsia" w:ascii="Times New Roman" w:hAnsi="Times New Roman" w:cs="Times New Roman"/>
          <w:color w:val="000000" w:themeColor="text1"/>
          <w:sz w:val="44"/>
          <w:szCs w:val="44"/>
          <w:u w:val="none"/>
          <w:lang w:val="en-US" w:eastAsia="zh-CN"/>
          <w14:textFill>
            <w14:solidFill>
              <w14:schemeClr w14:val="tx1"/>
            </w14:solidFill>
          </w14:textFill>
        </w:rPr>
        <w:t>2021.9.23</w:t>
      </w:r>
    </w:p>
    <w:p>
      <w:pPr>
        <w:jc w:val="center"/>
        <w:rPr>
          <w:rStyle w:val="5"/>
          <w:rFonts w:hint="eastAsia" w:ascii="Times New Roman" w:hAnsi="Times New Roman" w:cs="Times New Roman"/>
          <w:color w:val="000000" w:themeColor="text1"/>
          <w:sz w:val="44"/>
          <w:szCs w:val="44"/>
          <w:u w:val="none"/>
          <w:lang w:val="en-US" w:eastAsia="zh-CN"/>
          <w14:textFill>
            <w14:solidFill>
              <w14:schemeClr w14:val="tx1"/>
            </w14:solidFill>
          </w14:textFill>
        </w:rPr>
      </w:pPr>
    </w:p>
    <w:p>
      <w:pPr>
        <w:jc w:val="center"/>
        <w:rPr>
          <w:rStyle w:val="5"/>
          <w:rFonts w:hint="eastAsia" w:ascii="Times New Roman" w:hAnsi="Times New Roman" w:cs="Times New Roman"/>
          <w:color w:val="000000" w:themeColor="text1"/>
          <w:sz w:val="44"/>
          <w:szCs w:val="44"/>
          <w:u w:val="none"/>
          <w:lang w:val="en-US" w:eastAsia="zh-CN"/>
          <w14:textFill>
            <w14:solidFill>
              <w14:schemeClr w14:val="tx1"/>
            </w14:solidFill>
          </w14:textFill>
        </w:rPr>
      </w:pPr>
    </w:p>
    <w:p>
      <w:pPr>
        <w:jc w:val="center"/>
        <w:rPr>
          <w:rStyle w:val="5"/>
          <w:rFonts w:hint="eastAsia" w:ascii="Times New Roman" w:hAnsi="Times New Roman" w:cs="Times New Roman"/>
          <w:color w:val="000000" w:themeColor="text1"/>
          <w:sz w:val="44"/>
          <w:szCs w:val="44"/>
          <w:u w:val="none"/>
          <w:lang w:val="en-US" w:eastAsia="zh-CN"/>
          <w14:textFill>
            <w14:solidFill>
              <w14:schemeClr w14:val="tx1"/>
            </w14:solidFill>
          </w14:textFill>
        </w:rPr>
      </w:pPr>
    </w:p>
    <w:p>
      <w:pPr>
        <w:numPr>
          <w:ilvl w:val="0"/>
          <w:numId w:val="1"/>
        </w:numPr>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课程基本情况概述</w:t>
      </w:r>
    </w:p>
    <w:p>
      <w:pPr>
        <w:numPr>
          <w:numId w:val="0"/>
        </w:numPr>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基础会计》是2005年财富管理专业成立之初便开设的一门专业基础课程，其设立以制造业企业做账的工作环节为基准，针对性训练学生记账的能力。这门课程学习经济类课程的必备知识。通过本课程的学习，了解会计的基本职能、特点、对象及其会计核算基本前提；理解并掌握会计要素、会计科目和账户、借贷记账法的内容及其具体运用；学会会计凭证的编制、账簿的登记以及会计报表的编制；了解会计工作组织及我国的会计规范等；为后续《财务会计》、《财务管理》等会计专业课程做好相关知识准备。</w:t>
      </w:r>
    </w:p>
    <w:p>
      <w:pPr>
        <w:numPr>
          <w:numId w:val="0"/>
        </w:numPr>
        <w:jc w:val="both"/>
        <w:rPr>
          <w:rFonts w:hint="eastAsia" w:ascii="仿宋" w:hAnsi="仿宋" w:eastAsia="仿宋" w:cs="仿宋"/>
          <w:kern w:val="2"/>
          <w:sz w:val="30"/>
          <w:szCs w:val="30"/>
          <w:lang w:val="en-US" w:eastAsia="zh-CN" w:bidi="ar-SA"/>
        </w:rPr>
      </w:pPr>
    </w:p>
    <w:p>
      <w:pPr>
        <w:pStyle w:val="2"/>
        <w:numPr>
          <w:ilvl w:val="0"/>
          <w:numId w:val="1"/>
        </w:numPr>
        <w:shd w:val="clear" w:color="auto" w:fill="FFFFFF"/>
        <w:spacing w:line="360" w:lineRule="auto"/>
        <w:ind w:left="0" w:leftChars="0" w:firstLine="0" w:firstLine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课程建设内容</w:t>
      </w:r>
    </w:p>
    <w:p>
      <w:pPr>
        <w:pStyle w:val="2"/>
        <w:numPr>
          <w:numId w:val="0"/>
        </w:numPr>
        <w:shd w:val="clear" w:color="auto" w:fill="FFFFFF"/>
        <w:spacing w:line="360" w:lineRule="auto"/>
        <w:ind w:lef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（一）课程建设规划</w:t>
      </w:r>
    </w:p>
    <w:p>
      <w:pPr>
        <w:numPr>
          <w:numId w:val="0"/>
        </w:numP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1.建设目标</w:t>
      </w:r>
    </w:p>
    <w:p>
      <w:pPr>
        <w:numPr>
          <w:numId w:val="0"/>
        </w:numPr>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争取将《会计学基础》建设成一门具有一流教师队伍、一流教学内容、一流教学方法、一流教材、一流教学管理等特点的示范性校级课程</w:t>
      </w:r>
    </w:p>
    <w:p>
      <w:pPr>
        <w:numPr>
          <w:ilvl w:val="0"/>
          <w:numId w:val="2"/>
        </w:numP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建设原则</w:t>
      </w:r>
    </w:p>
    <w:p>
      <w:pPr>
        <w:numPr>
          <w:numId w:val="0"/>
        </w:numP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将按照校、院、系、专业申请、专家评审、择优扶持、重点建设的原则，分期、分批建设好《基础会计》精品课。</w:t>
      </w:r>
    </w:p>
    <w:p>
      <w:pPr>
        <w:numPr>
          <w:numId w:val="0"/>
        </w:numPr>
        <w:rPr>
          <w:rFonts w:hint="eastAsia" w:ascii="仿宋" w:hAnsi="仿宋" w:eastAsia="仿宋" w:cs="仿宋"/>
          <w:kern w:val="2"/>
          <w:sz w:val="30"/>
          <w:szCs w:val="30"/>
          <w:lang w:val="en-US" w:eastAsia="zh-CN" w:bidi="ar-SA"/>
        </w:rPr>
      </w:pPr>
    </w:p>
    <w:p>
      <w:pPr>
        <w:numPr>
          <w:numId w:val="0"/>
        </w:numPr>
        <w:jc w:val="both"/>
        <w:rPr>
          <w:rFonts w:hint="eastAsia" w:eastAsiaTheme="minorEastAsia"/>
          <w:lang w:val="en-US" w:eastAsia="zh-CN"/>
        </w:rPr>
      </w:pPr>
    </w:p>
    <w:p>
      <w:pPr>
        <w:numPr>
          <w:numId w:val="0"/>
        </w:numPr>
        <w:jc w:val="both"/>
        <w:rPr>
          <w:rFonts w:hint="default" w:ascii="仿宋" w:hAnsi="仿宋" w:eastAsia="仿宋" w:cs="仿宋"/>
          <w:kern w:val="2"/>
          <w:sz w:val="30"/>
          <w:szCs w:val="30"/>
          <w:lang w:val="en-US" w:eastAsia="zh-CN" w:bidi="ar-SA"/>
        </w:rPr>
      </w:pPr>
    </w:p>
    <w:p>
      <w:pPr>
        <w:numPr>
          <w:ilvl w:val="0"/>
          <w:numId w:val="3"/>
        </w:numPr>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师资队伍</w:t>
      </w:r>
    </w:p>
    <w:p>
      <w:pPr>
        <w:numPr>
          <w:ilvl w:val="0"/>
          <w:numId w:val="0"/>
        </w:numP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本课题组成员三位教师均为双师教师，均为一线工作岗位的老师，年龄均在三、四十岁之间，精力充沛，其次本课题组成员所学专业基本围绕会计、金融、投资等专业，对会计有着深刻的理解，均毕业于国内知名高校。教师队伍中既有理论知识丰富的教授，又有实践经验丰富，曾经工作于会计一线岗位的教师。</w:t>
      </w:r>
    </w:p>
    <w:p>
      <w:pPr>
        <w:numPr>
          <w:ilvl w:val="0"/>
          <w:numId w:val="0"/>
        </w:numPr>
        <w:rPr>
          <w:rFonts w:hint="default" w:ascii="仿宋" w:hAnsi="仿宋" w:eastAsia="仿宋" w:cs="仿宋"/>
          <w:kern w:val="2"/>
          <w:sz w:val="30"/>
          <w:szCs w:val="30"/>
          <w:lang w:val="en-US" w:eastAsia="zh-CN" w:bidi="ar-SA"/>
        </w:rPr>
      </w:pPr>
    </w:p>
    <w:p>
      <w:pPr>
        <w:numPr>
          <w:numId w:val="0"/>
        </w:numPr>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（三）教学内容改革和课程体系改革</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课程主要从两个方面进行持续性建设：</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课程内容改革</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对基础会计的课程内容进行通篇梳理，适当增加与本专业内容向相关的教学内容，删减一部分与本专业不太相关的内容，实现模块化设计。所谓模块化设计就是打破原课程按会计专业设置的课程目录，，按本专业的教学需求重新分块整合，主要分为三个模块：会计理论、做账方法、做账流程，将教学过程分为理论讲授、实践操作，综合实训。</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教学方法改革</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在传统教学方法的基础上增加热点驱动的教学方法，增对当前的经济事件，让学生从会计的专业角度思考问题；现场教学，针对不同的上市公司抽取相关的财务数据解读，让学生学以致用。</w:t>
      </w:r>
    </w:p>
    <w:p>
      <w:pPr>
        <w:numPr>
          <w:ilvl w:val="0"/>
          <w:numId w:val="0"/>
        </w:numPr>
        <w:rPr>
          <w:rFonts w:hint="eastAsia" w:ascii="仿宋" w:hAnsi="仿宋" w:eastAsia="仿宋" w:cs="仿宋"/>
          <w:kern w:val="2"/>
          <w:sz w:val="30"/>
          <w:szCs w:val="30"/>
          <w:lang w:val="en-US" w:eastAsia="zh-CN" w:bidi="ar-SA"/>
        </w:rPr>
      </w:pPr>
    </w:p>
    <w:p>
      <w:pPr>
        <w:numPr>
          <w:ilvl w:val="0"/>
          <w:numId w:val="4"/>
        </w:numPr>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资源建设</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在其他条件具备的情况下，一年内可以上网的教学资源1.基础会计课程简介 2.基础会计教学大纲 3.基础会计教学案例 4.基础会计主要教师情况介绍 5. 基础会计教学课件 ；其他网络教学资源可在两年内陆续上网。</w:t>
      </w:r>
    </w:p>
    <w:p>
      <w:pPr>
        <w:numPr>
          <w:ilvl w:val="0"/>
          <w:numId w:val="0"/>
        </w:numPr>
        <w:ind w:firstLine="600" w:firstLineChars="200"/>
        <w:rPr>
          <w:rFonts w:hint="eastAsia" w:ascii="仿宋" w:hAnsi="仿宋" w:eastAsia="仿宋" w:cs="仿宋"/>
          <w:kern w:val="2"/>
          <w:sz w:val="30"/>
          <w:szCs w:val="30"/>
          <w:lang w:val="en-US" w:eastAsia="zh-CN" w:bidi="ar-SA"/>
        </w:rPr>
      </w:pPr>
    </w:p>
    <w:p>
      <w:pPr>
        <w:numPr>
          <w:ilvl w:val="0"/>
          <w:numId w:val="0"/>
        </w:num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教学方法和教学手段改革</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1教学模式的设计与创新</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从总体上看，主要采取以传统的课堂教学为基础，案例教学、多媒体教学、课后练习、模拟实验、课后辅导答疑等相结合的教学方法，以达到传统的教学方法和多媒体教学互补的形象教学，帮助学生熟练掌握基本理论；丰富多彩的案例教学弥补课时的不足；课后练习温故知新；模拟实验提高学生动手能力；课后辅导答疑解惑、释疑。</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2多种教学方法的运用</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根据高职培养高技能应用型人才的目标，基础会计课程组要做到理论够用，重在实践，在课程内容设计上，扩大实务内容，注重“够用”理论与现代实践经验的结合。实践教学包括课内实践---即校内实训课，和校外实习基地实习。教师搜集大量企业实际会计资料，编制实训教材，在模拟实验室带领学生对会计资料进行模拟训练，还组织学期或年度毕业实习，开展第二课堂教学。以上实践教学大大提高了学生的学习兴趣和应用能力。</w:t>
      </w:r>
    </w:p>
    <w:p>
      <w:pPr>
        <w:numPr>
          <w:ilvl w:val="0"/>
          <w:numId w:val="0"/>
        </w:numPr>
        <w:ind w:firstLine="600" w:firstLineChars="200"/>
        <w:rPr>
          <w:rFonts w:hint="default" w:ascii="仿宋" w:hAnsi="仿宋" w:eastAsia="仿宋" w:cs="仿宋"/>
          <w:kern w:val="2"/>
          <w:sz w:val="30"/>
          <w:szCs w:val="30"/>
          <w:lang w:val="en-US" w:eastAsia="zh-CN" w:bidi="ar-SA"/>
        </w:rPr>
      </w:pP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3.现代教学技术手段的应用</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本课程的教学采用现代化的教学方法和手段，通过学校多部门的通力合作，为本课程的建设和发展服务。</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（1）、在教学模式上采用理论教学和实践教学相结合的模式</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课程是一门理论与实际相结合的课程。在教学过程中，分为理论教学和实践教学两部分。在理论课的讲解过程中又渗透相关的实践教学内容，提高学生的实际动手能力，也为后续仿真实践教学的开展做好准备。学校的实训处为教学提供支持，凭证、账簿、耗材等充足供应。</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（2）、教学与考证相融合</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课程实施了“课证融合”的教学改革，使本课程教学内容与会计从业资格考证内容相融合。学校专门为学生开设相关考证培训课，聘请有经验的教师担任培训教师，使学生学完本课程后能较顺利考取会计从业资格证书、助理会计师证，同时开展会计电算化实训，组织开展ERP应用能力考试。</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（3）、通过社会培训机构建设，培养学生的专业素质和专业素养</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我校专门针对财务管理和会计电算化业学生关于考证报名和培训，以及实训培训这些方面，和郑州百业会计咨询培训公司签成校企合作协议。使本专业学生在校期间能更好地将所学理论知识和实践结合起来，更进一步地提高了就业率和就业水平。</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4.网络教学资源和硬件环境</w:t>
      </w:r>
    </w:p>
    <w:p>
      <w:pPr>
        <w:numPr>
          <w:ilvl w:val="0"/>
          <w:numId w:val="0"/>
        </w:num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学院现有多个计算机教室。通过有条件、有管理地访问因特网，共享网上的资源。并且办公室配备电脑，让我们可以利用课余时间上网操作，充分利用网络进行学习，还可以及时学习和了解国家方针政策，并及时下载大量的有关资料；学生可以利用课余时间在机房进行上网操作，充分利用网络进行学习。总之，可以通过互联网及时学习和了解现代会计学动态和信息资料，为师生提供学习及时了解国内外新的会计学方面的研究成果的信息。</w:t>
      </w:r>
    </w:p>
    <w:p>
      <w:pPr>
        <w:numPr>
          <w:ilvl w:val="0"/>
          <w:numId w:val="0"/>
        </w:numPr>
        <w:ind w:firstLine="600" w:firstLineChars="200"/>
        <w:rPr>
          <w:rFonts w:hint="default" w:ascii="仿宋" w:hAnsi="仿宋" w:eastAsia="仿宋" w:cs="仿宋"/>
          <w:kern w:val="2"/>
          <w:sz w:val="30"/>
          <w:szCs w:val="30"/>
          <w:lang w:val="en-US" w:eastAsia="zh-CN" w:bidi="ar-SA"/>
        </w:rPr>
      </w:pPr>
    </w:p>
    <w:p>
      <w:pPr>
        <w:numPr>
          <w:ilvl w:val="0"/>
          <w:numId w:val="4"/>
        </w:numPr>
        <w:jc w:val="both"/>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实践教学环节</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1.校内实训设备与实训环境</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经贸系会计模拟实验室承担会计实务手工模拟实训和会计电算化上机实训，其实训地点由经贸系会计手工模拟实验室和实验中心公共机房共同组成，是经贸系相关专业学生的重要实习实训基地。</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经贸系会计模拟实验室已成为学生在校期间掌握会计基本操作、了解会计基本程序和基本会计知识的基地，使学生不出校门就能完成仿真效果实习，在帮助学生巩固所学知识的同时培养学生动手能力，使学生实现从理论到实践、从知识向能力的转化，为学生迈出校园，尽快适应工作环境，胜任本职工作打下坚实的基础。</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2.校外实习基地的建设与利用</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我院针对高职高专教学特点，注重创建实践性教学环境。经过多年的建设与开发，本专业现有2个稳定的校外实训基地。招商信诺、阿米谷。在实训基地，学生可以对企、事业单位的会计机构、会计岗位、会计人员的工作职责，企业的生产经营与管理等方面的情况进行了解，可以对企事业单位的会计科目的设置情况，会计凭证、会计账簿、会计报告等情况进行了解，并可以根据需要让学生进行岗位实习。通过实习可以加强学生对会计工作岗位、会计工作流程的认识，提高会计工作的实际动手能力，增强会计电算化工作的能力。</w:t>
      </w:r>
    </w:p>
    <w:p>
      <w:pPr>
        <w:rPr>
          <w:rFonts w:hint="eastAsia" w:ascii="仿宋" w:hAnsi="仿宋" w:eastAsia="仿宋" w:cs="仿宋"/>
          <w:kern w:val="2"/>
          <w:sz w:val="30"/>
          <w:szCs w:val="30"/>
          <w:lang w:val="en-US" w:eastAsia="zh-CN" w:bidi="ar-SA"/>
        </w:rPr>
      </w:pPr>
    </w:p>
    <w:p>
      <w:pPr>
        <w:numPr>
          <w:ilvl w:val="0"/>
          <w:numId w:val="0"/>
        </w:numP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三、建设实施步骤</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第一年：进一步加强实验室的硬件、软件建设，以及教学法的研究，</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第二年：根据国内外环境与政策的变化和最新的教学、科研成果，制作《基础会计题库软件》，并在内部印刷的《基础会计多媒体课件》。同时，持续开展基础会计学课程的研究。</w:t>
      </w:r>
    </w:p>
    <w:p>
      <w:pPr>
        <w:numPr>
          <w:ilvl w:val="0"/>
          <w:numId w:val="0"/>
        </w:numPr>
        <w:ind w:firstLine="600" w:firstLineChars="200"/>
        <w:rPr>
          <w:rFonts w:hint="eastAsia" w:ascii="仿宋" w:hAnsi="仿宋" w:eastAsia="仿宋" w:cs="仿宋"/>
          <w:kern w:val="2"/>
          <w:sz w:val="30"/>
          <w:szCs w:val="30"/>
          <w:lang w:val="en-US" w:eastAsia="zh-CN" w:bidi="ar-SA"/>
        </w:rPr>
      </w:pPr>
    </w:p>
    <w:p>
      <w:pPr>
        <w:numPr>
          <w:ilvl w:val="0"/>
          <w:numId w:val="0"/>
        </w:numP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四、改进的方向与途径</w:t>
      </w:r>
    </w:p>
    <w:p>
      <w:pPr>
        <w:numPr>
          <w:ilvl w:val="0"/>
          <w:numId w:val="0"/>
        </w:num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目前市面上大部分关于会计学基础的课程主要服务于会计专业的学生，忽略了非会计专业的学生对着门课程的需求，该门课程改进的方向应该紧紧围绕本专业对会计知识与技能的需求进行改革，更好的服务于非会计专业的学生。</w:t>
      </w:r>
    </w:p>
    <w:p>
      <w:pPr>
        <w:numPr>
          <w:numId w:val="0"/>
        </w:numPr>
        <w:ind w:leftChars="0"/>
        <w:rPr>
          <w:rFonts w:hint="eastAsia" w:ascii="仿宋" w:hAnsi="仿宋" w:eastAsia="仿宋" w:cs="仿宋"/>
          <w:kern w:val="2"/>
          <w:sz w:val="30"/>
          <w:szCs w:val="30"/>
          <w:lang w:val="en-US" w:eastAsia="zh-CN" w:bidi="ar-SA"/>
        </w:rPr>
      </w:pPr>
    </w:p>
    <w:p>
      <w:pPr>
        <w:numPr>
          <w:numId w:val="0"/>
        </w:numPr>
        <w:ind w:leftChars="0"/>
        <w:rPr>
          <w:rFonts w:hint="default" w:ascii="仿宋" w:hAnsi="仿宋" w:eastAsia="仿宋" w:cs="仿宋"/>
          <w:kern w:val="2"/>
          <w:sz w:val="30"/>
          <w:szCs w:val="30"/>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EBB16"/>
    <w:multiLevelType w:val="singleLevel"/>
    <w:tmpl w:val="8BEEBB16"/>
    <w:lvl w:ilvl="0" w:tentative="0">
      <w:start w:val="1"/>
      <w:numFmt w:val="chineseCounting"/>
      <w:suff w:val="nothing"/>
      <w:lvlText w:val="%1、"/>
      <w:lvlJc w:val="left"/>
      <w:rPr>
        <w:rFonts w:hint="eastAsia"/>
      </w:rPr>
    </w:lvl>
  </w:abstractNum>
  <w:abstractNum w:abstractNumId="1">
    <w:nsid w:val="A9E7A0BF"/>
    <w:multiLevelType w:val="singleLevel"/>
    <w:tmpl w:val="A9E7A0BF"/>
    <w:lvl w:ilvl="0" w:tentative="0">
      <w:start w:val="2"/>
      <w:numFmt w:val="decimal"/>
      <w:lvlText w:val="%1."/>
      <w:lvlJc w:val="left"/>
      <w:pPr>
        <w:tabs>
          <w:tab w:val="left" w:pos="312"/>
        </w:tabs>
      </w:pPr>
    </w:lvl>
  </w:abstractNum>
  <w:abstractNum w:abstractNumId="2">
    <w:nsid w:val="25D04195"/>
    <w:multiLevelType w:val="singleLevel"/>
    <w:tmpl w:val="25D04195"/>
    <w:lvl w:ilvl="0" w:tentative="0">
      <w:start w:val="2"/>
      <w:numFmt w:val="chineseCounting"/>
      <w:suff w:val="nothing"/>
      <w:lvlText w:val="（%1）"/>
      <w:lvlJc w:val="left"/>
      <w:rPr>
        <w:rFonts w:hint="eastAsia"/>
      </w:rPr>
    </w:lvl>
  </w:abstractNum>
  <w:abstractNum w:abstractNumId="3">
    <w:nsid w:val="658205B9"/>
    <w:multiLevelType w:val="singleLevel"/>
    <w:tmpl w:val="658205B9"/>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D0D4C"/>
    <w:rsid w:val="09A63075"/>
    <w:rsid w:val="279E289B"/>
    <w:rsid w:val="307D0D4C"/>
    <w:rsid w:val="38BF6287"/>
    <w:rsid w:val="7AA771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2021-09-24T06:46:00Z</dcterms:created>
  <dc:creator>JMX</dc:creator>
  <cp:lastModifiedBy>JMX</cp:lastModifiedBy>
  <dcterms:modified xsi:type="dcterms:W3CDTF">2021-09-24T07:39:35Z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B0AAB1A0A85C4ADEBE3173F5AE5CF6B5</vt:lpwstr>
  </property>
</Properties>
</file>